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</w:pPr>
      <w:bookmarkStart w:id="1" w:name="_GoBack"/>
      <w:bookmarkEnd w:id="1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重庆发展置业管理有限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公司简介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3" w:firstLineChars="200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重庆发展</w:t>
      </w:r>
      <w:bookmarkStart w:id="0" w:name="_Toc4346_WPSOffice_Level1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置业管理有限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以下简称公</w:t>
      </w:r>
      <w:bookmarkEnd w:id="0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重庆发展投资公司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旗下全资子企业，成立于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2002年12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月，前身为重庆高等级公路建设投资有限公司，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2006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年重组并更名为重庆交通旅游投资集团有限公司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2020年4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月，公司正式更名为重庆发展置业管理有限公司。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公司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作为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“专业化资产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运营公司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”，统筹市级公租房商业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和车位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资产全链条式运营管理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在管的各类经营性资产建筑面积约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445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万平方米。公司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全面实施“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1+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3+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N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”发展战略，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围绕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重庆发展投资公司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整体战略功能定位，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积极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打造1个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</w:rPr>
        <w:t>综合性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大资管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</w:rPr>
        <w:t>平台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，做精资产投资、做强资产管理和做优资产运营3大领域，提速弯道超车商业运营、车库管理、住房租赁、数字服务等N条路径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 w:color="auto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形成“经营性资产投资和运营管理，金融类股权投资”双主业发展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格局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作为金融股权投资者，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设立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了1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家全资子公司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重庆财赋置业管理有限公司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，参股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金融类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企业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其中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2家“A+H”股上市银行—重庆银行与重庆农商行，1家国家级金融试点企业—重庆国家金融科技认证中心有限责任公司。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截至2024年底，公司合并报表资产总额226.57亿元，净资产126.21亿元，资产负债率44.3%。公司本部内设8个部门，并下设7个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运营中心。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公司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切实发挥市场化投资、专业化运营、数字化创新、现代化管理作用，坚持做强、做优、做大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资产运营主业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，为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重庆发展投资公司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高质量发展提供强有力支撑。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